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3B" w:rsidRDefault="00761F3B" w:rsidP="006355D1">
      <w:pPr>
        <w:bidi/>
        <w:jc w:val="center"/>
        <w:rPr>
          <w:rFonts w:ascii="MS UI Gothic" w:eastAsia="MS UI Gothic" w:hAnsi="MS UI Gothic" w:cs="B Titr"/>
          <w:lang w:bidi="fa-IR"/>
        </w:rPr>
      </w:pPr>
    </w:p>
    <w:p w:rsidR="00D63C83" w:rsidRPr="00365C71" w:rsidRDefault="006164AF" w:rsidP="00C97663">
      <w:pPr>
        <w:bidi/>
        <w:jc w:val="center"/>
        <w:rPr>
          <w:rFonts w:ascii="MS UI Gothic" w:eastAsia="MS UI Gothic" w:hAnsi="MS UI Gothic" w:cs="B Titr"/>
          <w:sz w:val="28"/>
          <w:szCs w:val="28"/>
          <w:rtl/>
          <w:lang w:bidi="fa-IR"/>
        </w:rPr>
      </w:pPr>
      <w:r>
        <w:rPr>
          <w:rFonts w:ascii="MS UI Gothic" w:eastAsia="MS UI Gothic" w:hAnsi="MS UI Gothic" w:cs="B Titr"/>
          <w:noProof/>
          <w:rtl/>
        </w:rPr>
        <w:pict>
          <v:roundrect id="_x0000_s1029" style="position:absolute;left:0;text-align:left;margin-left:15.75pt;margin-top:5.15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9">
              <w:txbxContent>
                <w:p w:rsidR="00371523" w:rsidRPr="00CF436A" w:rsidRDefault="00371523" w:rsidP="00371523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 w:rsidRPr="00CF436A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xbxContent>
            </v:textbox>
          </v:roundrect>
        </w:pict>
      </w:r>
      <w:r w:rsidR="00591E73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 xml:space="preserve">چک لیست کشوری </w:t>
      </w:r>
      <w:r w:rsidR="007930E4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 xml:space="preserve">مطب </w:t>
      </w:r>
      <w:r w:rsidR="00A02B92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>پزشک</w:t>
      </w:r>
      <w:r w:rsidR="006355D1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>ان</w:t>
      </w:r>
      <w:r w:rsidR="00E570CE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 xml:space="preserve"> عمومی</w:t>
      </w:r>
      <w:r w:rsidR="00C97663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 xml:space="preserve">          </w:t>
      </w:r>
      <w:r w:rsidR="00D218EB" w:rsidRPr="00365C71">
        <w:rPr>
          <w:rFonts w:ascii="MS UI Gothic" w:eastAsia="MS UI Gothic" w:hAnsi="MS UI Gothic" w:cs="B Titr"/>
          <w:sz w:val="28"/>
          <w:szCs w:val="28"/>
          <w:rtl/>
          <w:lang w:bidi="fa-IR"/>
        </w:rPr>
        <w:tab/>
      </w:r>
      <w:r w:rsidR="00D979BD" w:rsidRPr="00365C71">
        <w:rPr>
          <w:rFonts w:ascii="MS UI Gothic" w:eastAsia="MS UI Gothic" w:hAnsi="MS UI Gothic" w:cs="B Titr" w:hint="cs"/>
          <w:sz w:val="28"/>
          <w:szCs w:val="28"/>
          <w:rtl/>
          <w:lang w:bidi="fa-IR"/>
        </w:rPr>
        <w:t xml:space="preserve">        </w:t>
      </w:r>
    </w:p>
    <w:p w:rsidR="00D63C83" w:rsidRPr="00D077EF" w:rsidRDefault="00E570CE" w:rsidP="0077225F">
      <w:pPr>
        <w:bidi/>
        <w:spacing w:after="0"/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</w:pP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خانوادگی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پزشک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</w:t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                           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اعتبار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:                                     </w:t>
      </w:r>
      <w:r w:rsidR="00B45E5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: </w:t>
      </w:r>
    </w:p>
    <w:p w:rsidR="00761F3B" w:rsidRPr="00D077EF" w:rsidRDefault="00D63C83" w:rsidP="0077225F">
      <w:pPr>
        <w:bidi/>
        <w:spacing w:after="0"/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</w:pP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شماره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نظام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پزشکی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 :   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کد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ملی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دارنده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                                                 </w:t>
      </w:r>
      <w:r w:rsidR="00B45E5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                     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شماره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57675D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:</w:t>
      </w:r>
      <w:r w:rsidR="0057675D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تلفن</w:t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ثابت</w:t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همراه</w:t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: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</w:p>
    <w:p w:rsidR="0077225F" w:rsidRPr="00D077EF" w:rsidRDefault="0057675D" w:rsidP="0077225F">
      <w:pPr>
        <w:bidi/>
        <w:spacing w:after="0"/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</w:pP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آدرس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پستی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منطقه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شهرداری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:                                                                                          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                       </w:t>
      </w:r>
      <w:r w:rsidR="00B45E5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</w:t>
      </w:r>
      <w:r w:rsidR="0077225F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</w:p>
    <w:p w:rsidR="00D63C83" w:rsidRPr="00D077EF" w:rsidRDefault="0077225F" w:rsidP="0077225F">
      <w:pPr>
        <w:bidi/>
        <w:spacing w:after="0"/>
        <w:rPr>
          <w:color w:val="538135" w:themeColor="accent6" w:themeShade="BF"/>
          <w:sz w:val="20"/>
          <w:szCs w:val="20"/>
          <w:rtl/>
          <w:lang w:bidi="fa-IR"/>
        </w:rPr>
      </w:pP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ساعت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روزهای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فعالیت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: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   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شهرستان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مجاز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به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فعالیت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:              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br/>
      </w:r>
      <w:r w:rsidR="00761F3B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شرایط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خاص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>*: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رشته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درج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>**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</w:t>
      </w:r>
      <w:r w:rsidR="00761F3B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مجوزها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(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اعتبارمجوز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>-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مرجع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صدور</w:t>
      </w:r>
      <w:r w:rsidR="00B45E5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) 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lang w:bidi="fa-IR"/>
        </w:rPr>
        <w:t>***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57675D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گرایشهای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="00D63C83"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تابلو</w:t>
      </w:r>
      <w:r w:rsidR="00D63C83" w:rsidRPr="00D077EF">
        <w:rPr>
          <w:color w:val="538135" w:themeColor="accent6" w:themeShade="BF"/>
          <w:sz w:val="20"/>
          <w:szCs w:val="20"/>
          <w:lang w:bidi="fa-IR"/>
        </w:rPr>
        <w:t>:</w:t>
      </w:r>
      <w:r w:rsidR="00761F3B" w:rsidRPr="00D077EF">
        <w:rPr>
          <w:rFonts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</w:p>
    <w:p w:rsidR="00761F3B" w:rsidRPr="0057675D" w:rsidRDefault="00761F3B" w:rsidP="0077225F">
      <w:pPr>
        <w:bidi/>
        <w:spacing w:after="0"/>
        <w:rPr>
          <w:rFonts w:ascii="MS UI Gothic" w:eastAsia="MS UI Gothic" w:hAnsi="MS UI Gothic" w:cs="B Titr"/>
          <w:rtl/>
          <w:lang w:bidi="fa-IR"/>
        </w:rPr>
      </w:pP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ساعت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>بازدید</w:t>
      </w:r>
      <w:r w:rsidRPr="00D077EF">
        <w:rPr>
          <w:rFonts w:ascii="MS UI Gothic" w:eastAsia="MS UI Gothic" w:hAnsi="MS UI Gothic"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                                                                     </w:t>
      </w:r>
      <w:r w:rsidRPr="00D077EF">
        <w:rPr>
          <w:rFonts w:ascii="MS UI Gothic" w:eastAsia="MS UI Gothic" w:hAnsi="MS UI Gothic" w:cs="B Titr" w:hint="cs"/>
          <w:color w:val="538135" w:themeColor="accent6" w:themeShade="BF"/>
          <w:sz w:val="20"/>
          <w:szCs w:val="20"/>
          <w:rtl/>
          <w:lang w:bidi="fa-IR"/>
        </w:rPr>
        <w:t xml:space="preserve">        </w:t>
      </w:r>
      <w:r w:rsidRPr="0077225F">
        <w:rPr>
          <w:rFonts w:ascii="MS UI Gothic" w:eastAsia="MS UI Gothic" w:hAnsi="MS UI Gothic" w:cs="B Titr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11341" w:type="dxa"/>
        <w:tblInd w:w="-149" w:type="dxa"/>
        <w:tblLook w:val="04A0" w:firstRow="1" w:lastRow="0" w:firstColumn="1" w:lastColumn="0" w:noHBand="0" w:noVBand="1"/>
      </w:tblPr>
      <w:tblGrid>
        <w:gridCol w:w="1276"/>
        <w:gridCol w:w="2977"/>
        <w:gridCol w:w="315"/>
        <w:gridCol w:w="393"/>
        <w:gridCol w:w="335"/>
        <w:gridCol w:w="691"/>
        <w:gridCol w:w="675"/>
        <w:gridCol w:w="1418"/>
        <w:gridCol w:w="3261"/>
      </w:tblGrid>
      <w:tr w:rsidR="001A17DD" w:rsidTr="00D077EF">
        <w:trPr>
          <w:trHeight w:val="564"/>
        </w:trPr>
        <w:tc>
          <w:tcPr>
            <w:tcW w:w="1276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761F3B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977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531890" w:rsidRDefault="001A17DD" w:rsidP="005D61E8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409" w:type="dxa"/>
            <w:gridSpan w:val="5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418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5723E7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531890" w:rsidRDefault="001A17DD" w:rsidP="005723E7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261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531890" w:rsidRDefault="001A17DD" w:rsidP="005D61E8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1A17DD" w:rsidTr="00D077EF">
        <w:trPr>
          <w:trHeight w:val="218"/>
        </w:trPr>
        <w:tc>
          <w:tcPr>
            <w:tcW w:w="1276" w:type="dxa"/>
            <w:vMerge/>
            <w:vAlign w:val="center"/>
          </w:tcPr>
          <w:p w:rsidR="001A17DD" w:rsidRPr="0041662A" w:rsidRDefault="001A17DD" w:rsidP="00761F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393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335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675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418" w:type="dxa"/>
            <w:vMerge/>
            <w:vAlign w:val="center"/>
          </w:tcPr>
          <w:p w:rsidR="001A17DD" w:rsidRPr="0041662A" w:rsidRDefault="001A17DD" w:rsidP="005723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E5484" w:rsidRPr="00575E3D" w:rsidTr="00C24B34">
        <w:trPr>
          <w:trHeight w:val="383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1E5484" w:rsidRPr="00575E3D" w:rsidRDefault="001E548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مجوز</w:t>
            </w:r>
          </w:p>
        </w:tc>
        <w:tc>
          <w:tcPr>
            <w:tcW w:w="2977" w:type="dxa"/>
          </w:tcPr>
          <w:p w:rsidR="001E5484" w:rsidRPr="00575E3D" w:rsidRDefault="001E5484" w:rsidP="001E548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پزشک دارای پروانه طبابت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معتبرمی باشد.</w:t>
            </w:r>
          </w:p>
        </w:tc>
        <w:tc>
          <w:tcPr>
            <w:tcW w:w="31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1E5484" w:rsidRPr="000E7FB5" w:rsidRDefault="001E5484" w:rsidP="00531890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1E5484" w:rsidRPr="00575E3D" w:rsidRDefault="001E548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/>
                <w:rtl/>
                <w:lang w:bidi="fa-IR"/>
              </w:rPr>
            </w:pPr>
          </w:p>
        </w:tc>
      </w:tr>
      <w:tr w:rsidR="001E548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1E5484" w:rsidRDefault="001E548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1E5484" w:rsidRPr="00575E3D" w:rsidRDefault="001E5484" w:rsidP="001E548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واحد تزریقات دارای مجوز می باشد</w:t>
            </w:r>
          </w:p>
        </w:tc>
        <w:tc>
          <w:tcPr>
            <w:tcW w:w="31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1E5484" w:rsidRPr="000E7FB5" w:rsidRDefault="001E5484" w:rsidP="00531890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1E5484" w:rsidRPr="00575E3D" w:rsidRDefault="001E548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/>
                <w:rtl/>
                <w:lang w:bidi="fa-IR"/>
              </w:rPr>
            </w:pPr>
          </w:p>
        </w:tc>
      </w:tr>
      <w:tr w:rsidR="0067430B" w:rsidRPr="00575E3D" w:rsidTr="00C24B34">
        <w:trPr>
          <w:trHeight w:val="383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67430B" w:rsidRPr="00575E3D" w:rsidRDefault="0067430B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نیروی انسانی</w:t>
            </w:r>
          </w:p>
        </w:tc>
        <w:tc>
          <w:tcPr>
            <w:tcW w:w="2977" w:type="dxa"/>
            <w:vMerge w:val="restart"/>
          </w:tcPr>
          <w:p w:rsidR="0067430B" w:rsidRPr="00575E3D" w:rsidRDefault="0067430B" w:rsidP="001E548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متصدی تزریقات شرایط لازم جهت انجام تزریقات </w:t>
            </w:r>
            <w:r w:rsidR="001E5484">
              <w:rPr>
                <w:rFonts w:ascii="MS UI Gothic" w:eastAsia="MS UI Gothic" w:hAnsi="MS UI Gothic" w:cs="B Mitra" w:hint="cs"/>
                <w:rtl/>
                <w:lang w:bidi="fa-IR"/>
              </w:rPr>
              <w:t>دارد</w:t>
            </w:r>
            <w:r w:rsidR="00761F3B">
              <w:rPr>
                <w:rFonts w:ascii="MS UI Gothic" w:eastAsia="MS UI Gothic" w:hAnsi="MS UI Gothic" w:cs="B Mitra" w:hint="cs"/>
                <w:rtl/>
                <w:lang w:bidi="fa-IR"/>
              </w:rPr>
              <w:t>.</w:t>
            </w:r>
          </w:p>
        </w:tc>
        <w:tc>
          <w:tcPr>
            <w:tcW w:w="315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67430B" w:rsidRPr="000E7FB5" w:rsidRDefault="0067430B" w:rsidP="0067430B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7430B" w:rsidRPr="00575E3D" w:rsidRDefault="00C3486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وجود پرستار ، بهیار ،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پزشکیار و کاردان ها کارشناسان گروه پیراپزشکی در واحد تزریقات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}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مطابق با آیین نامه واحد تزریقات}</w:t>
            </w:r>
          </w:p>
        </w:tc>
      </w:tr>
      <w:tr w:rsidR="0067430B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67430B" w:rsidRPr="00575E3D" w:rsidRDefault="0067430B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15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Merge/>
            <w:vAlign w:val="center"/>
          </w:tcPr>
          <w:p w:rsidR="0067430B" w:rsidRPr="000E7FB5" w:rsidRDefault="0067430B" w:rsidP="0067430B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5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67430B" w:rsidRPr="00575E3D" w:rsidRDefault="0067430B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261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/>
                <w:rtl/>
                <w:lang w:bidi="fa-IR"/>
              </w:rPr>
            </w:pP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67430B" w:rsidRPr="00575E3D" w:rsidRDefault="0067430B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افراد فاقد صلاحیت در مطب فعالیت نمی نمایند.  </w:t>
            </w:r>
          </w:p>
        </w:tc>
        <w:tc>
          <w:tcPr>
            <w:tcW w:w="315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7430B" w:rsidRPr="000E7FB5" w:rsidRDefault="0067430B" w:rsidP="0067430B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7430B" w:rsidRPr="00575E3D" w:rsidRDefault="00C3486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فعالیت افراد بدون داشتن مدرک </w:t>
            </w:r>
            <w:r w:rsidR="002E15F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 مجوزهای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مرتبط در خصوص حجامت ، مراقبت های پوستی ، بخیه </w:t>
            </w:r>
            <w:r w:rsidR="002E15F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 تزریقات </w:t>
            </w:r>
          </w:p>
        </w:tc>
      </w:tr>
      <w:tr w:rsidR="00C34864" w:rsidRPr="00575E3D" w:rsidTr="00C24B34">
        <w:trPr>
          <w:trHeight w:val="818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مراقبت و درمان</w:t>
            </w:r>
          </w:p>
        </w:tc>
        <w:tc>
          <w:tcPr>
            <w:tcW w:w="2977" w:type="dxa"/>
          </w:tcPr>
          <w:p w:rsidR="00C34864" w:rsidRPr="00575E3D" w:rsidRDefault="00F61ED3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تزریقات ، </w:t>
            </w:r>
            <w:r w:rsidR="00C34864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سرم تراپی ، </w:t>
            </w:r>
            <w:r w:rsidR="00C34864"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بخیه و پانسمان در مطب </w:t>
            </w:r>
            <w:r w:rsidR="00C34864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بدون داشتن واحد تزریقات </w:t>
            </w:r>
            <w:r w:rsidR="00C34864"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انجام می شود.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اقدام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>ات درمانی- تشخیصی غیر مجازانجام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نمی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مطابق دستورالعمل های ابلاغی وزارت بهداشت و سایر مراجع ذی صلاح 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اقدام فاقد مجوز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آموزش ،</w:t>
            </w:r>
          </w:p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اطلاع ر سانی و مدارک پزشکی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اندازه، تعداد و عناوین تابلو استانداردمی باشد.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اندازه و تعداد تابلو مطابق با آئين نامه تابلو و سرنسخه سازمان نظام پزشكي- درج حد اکثر 3 عنوان در تابلو - عدم استفاده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از عناوين مرکز و یا پاراكلينيك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عناوين تابلو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باسرنسخه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 کارت ویزیت مطابقت دارد (سرنسخه ضميمه گردد)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دفتر ثبت مشخصات جهت بیماران در واحد تزريقات وجود دارد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ثبت نام و نام خانوادگي-سن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تاريخ و ساعت مراجعه-نام آمپول يا سرم-نوع تزريق-نام مسئول انجام تزريق-نام پزشك معالج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نرم افزار قابل 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>ج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ایگزینی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است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برای کلیه مراجعین ، بخصوص بیماران مزمن (از جمله بیماران قلبی و فشار خون) پرونده تشکیل می شود. 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مهرپزشك در پرونده</w:t>
            </w:r>
          </w:p>
        </w:tc>
      </w:tr>
      <w:tr w:rsidR="00C34864" w:rsidRPr="00575E3D" w:rsidTr="00C24B34">
        <w:trPr>
          <w:trHeight w:val="369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 xml:space="preserve">فضای </w:t>
            </w: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lastRenderedPageBreak/>
              <w:t>فیزیکی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 xml:space="preserve">الزامات ایین نامه ضوابط و تسهیلات مطب در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>مرحله تاسیس رعایت گردیده است.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شرایط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مطابق آیین نامه مذکور</w:t>
            </w:r>
          </w:p>
        </w:tc>
      </w:tr>
      <w:tr w:rsidR="00C34864" w:rsidRPr="00575E3D" w:rsidTr="00C24B34">
        <w:trPr>
          <w:trHeight w:val="369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در فضای فیزیکی ، تغییری در مقایسه با پلان قبلی ایجاد نشده است.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C34864" w:rsidRPr="00575E3D" w:rsidTr="00C24B34">
        <w:trPr>
          <w:trHeight w:val="369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5723E7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د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>ر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>صورت داشتن واحد تزریقات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فضای فیزیکی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استاندارد لازم را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721A20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شرایط: وجود اتاق با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حداقل متراژ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12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متر مربع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 به صورت مستقل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روشویی - دارابودن تهویه مطلوب و نور مناسب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دیوار و کف قابل شستشو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حداقل دو تخت تزریقات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پیشگیری و بهداشت</w:t>
            </w:r>
          </w:p>
        </w:tc>
        <w:tc>
          <w:tcPr>
            <w:tcW w:w="2977" w:type="dxa"/>
          </w:tcPr>
          <w:p w:rsidR="00C34864" w:rsidRPr="00575E3D" w:rsidRDefault="00C34864" w:rsidP="005723E7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سوابق مصونيت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بر عليه هپاتيت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B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در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مطب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هايي كه تزريقات ،پانسمان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،جراحي هاي سرپايي و يا معاينات زنان به عمل مي آورند،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5723E7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بررسی مستندات مربوط به مصونیت  بر علیه هپاتيت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B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مدیریت  پسماندهاي نوك تيز و برنده(سفتي باكس) به شیوه صحیح انجام می پذیرد.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تعويض به موقع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( پس از پرشدن 4/3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)- درج تاريخ شروع استفاده بر روي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- نحوه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OUT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نمودن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براي تميز كردن كف و سطوح از محلول ضدعفوني كننده مناسب استفاده می گردد.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A17B5F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سطل های زباله درب دار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از پگ های غیراستريل یا فاقد شرايط استاندارد استفاده نمي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پاکسازی وسایل ست ها  با برس و دترجنت مناسب -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وجود شان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 وسایل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>ست سالم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( عدم وجود  آثار لک روی شان ها و زنگ زدگی)- 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درج تاریخ استریل روی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ستها -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>رعایت مدت استریل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یتی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>ستها و وسایل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وضعيت نور ، تهويه و سيستمهاي برودتي /حرارتي و نظافت مطب ، مناسب می باشد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نور کافی و تهویه مطلوب در مطب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کف و دیوار ها قابل شستشو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Pr="00575E3D" w:rsidRDefault="00C34864" w:rsidP="0077225F">
            <w:pPr>
              <w:bidi/>
              <w:jc w:val="center"/>
              <w:rPr>
                <w:rFonts w:ascii="MS UI Gothic" w:eastAsia="MS UI Gothic" w:hAnsi="MS UI Gothic" w:cs="B Za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lastRenderedPageBreak/>
              <w:t>دارو و تجهیزات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 xml:space="preserve">تخت های مناسب جهت معاينه و تزریقات وجود دارد.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</w:t>
            </w:r>
            <w:r w:rsidR="00DB088B">
              <w:rPr>
                <w:rFonts w:ascii="MS UI Gothic" w:eastAsia="MS UI Gothic" w:hAnsi="MS UI Gothic" w:cs="B Mitra" w:hint="cs"/>
                <w:rtl/>
                <w:lang w:bidi="fa-IR"/>
              </w:rPr>
              <w:t>و بررسی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تخت های سالم و ایمن و مقاوم در برابر زنگ زدگی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قابل شستشو بودن -  وجود پاراوان یا پرده کنار تخت ها 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tabs>
                <w:tab w:val="right" w:pos="9360"/>
              </w:tabs>
              <w:bidi/>
              <w:jc w:val="center"/>
              <w:rPr>
                <w:rFonts w:ascii="MS UI Gothic" w:eastAsia="MS UI Gothic" w:hAnsi="MS UI Gothic" w:cs="B Za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ست معاينه در مطب وجود دارد.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ست معاینه شامل: فشار سنج ،گوشي ، اتوسكوپ ، چراغ قوه ، آبسلانگ و ترمومتر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ست احياء و داروهاي اورژانس (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emergency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)وجود دارد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از جمله : لارنگوسكوپ ، آمبوبگ ،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airway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، لوله تراشه ،آنژیوکت ،آمپولهاي هيدروكورتيزون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>،آدرنالين ،آتروپين و ديازپام ، نالوکسان ، و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پرل 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TNG</w:t>
            </w:r>
            <w:r w:rsidR="00A17B5F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  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جهت استريل كردن وسايل از فور یا  اتوكلاو كلاس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B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مستندات مربوط به کالیبراسیون فور یا اتوکلاو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تست فور یا اتوکلاو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یک کپسول آتش نشانی 4 کیلوگرمی با شارژمعتبر  به ازاء هر 50 متر مربع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رعایت حقوق گیرندگان خدمت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پروانه مطب معتبر در معرض ديد نصب مي باشد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مشاهده نصب پروانه در معرض دید مراجعین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حفظ حریم خصوصی بیمار در زمان معاینه رعایت می شود.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عدم ویزیت همزمان چند بیمار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عدم وجود پارتیشن جهت جداسازی اتاق معاینه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پاراوان کنار تخت معاینه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C34864" w:rsidRPr="00575E3D" w:rsidTr="00C24B34">
        <w:trPr>
          <w:trHeight w:val="437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تعرفه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رؤیت نصب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تعرفه ها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در معرض دید مراجعین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C34864" w:rsidRPr="00575E3D" w:rsidTr="00C24B34">
        <w:trPr>
          <w:trHeight w:val="437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8D2DEC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</w:t>
            </w:r>
            <w:r w:rsidR="008D2DEC">
              <w:rPr>
                <w:rFonts w:ascii="MS UI Gothic" w:eastAsia="MS UI Gothic" w:hAnsi="MS UI Gothic" w:cs="B Mitra" w:hint="cs"/>
                <w:rtl/>
                <w:lang w:bidi="fa-IR"/>
              </w:rPr>
              <w:t>و بررسی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بررسی مستندات(دفاترپذیرش و...) مبنی بر رعایت تعرفه های مصوب ابلاغی</w:t>
            </w:r>
          </w:p>
        </w:tc>
      </w:tr>
    </w:tbl>
    <w:p w:rsidR="00D31EAA" w:rsidRPr="00575E3D" w:rsidRDefault="00D31EAA" w:rsidP="00D31EAA">
      <w:pPr>
        <w:bidi/>
        <w:rPr>
          <w:rtl/>
          <w:lang w:bidi="fa-IR"/>
        </w:rPr>
      </w:pPr>
    </w:p>
    <w:p w:rsidR="008227A9" w:rsidRDefault="008227A9" w:rsidP="008227A9">
      <w:pPr>
        <w:bidi/>
        <w:rPr>
          <w:lang w:bidi="fa-IR"/>
        </w:rPr>
      </w:pPr>
    </w:p>
    <w:tbl>
      <w:tblPr>
        <w:tblStyle w:val="TableGrid1"/>
        <w:bidiVisual/>
        <w:tblW w:w="11192" w:type="dxa"/>
        <w:tblInd w:w="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7254"/>
        <w:gridCol w:w="2471"/>
      </w:tblGrid>
      <w:tr w:rsidR="00781358" w:rsidTr="00C24B34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81358" w:rsidRDefault="00781358" w:rsidP="00A17B5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781358" w:rsidTr="00C24B34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  <w:lang w:bidi="fa-IR"/>
              </w:rPr>
              <w:t>ی و مداخلات  قابل اجرا:</w:t>
            </w:r>
          </w:p>
        </w:tc>
      </w:tr>
      <w:tr w:rsidR="00781358" w:rsidTr="00C24B34">
        <w:trPr>
          <w:trHeight w:val="120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81358" w:rsidRDefault="00781358" w:rsidP="00A17B5F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</w:r>
            <w:r w:rsidR="00C34864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781358" w:rsidTr="00C24B34">
        <w:trPr>
          <w:trHeight w:val="583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781358" w:rsidTr="00C24B34">
        <w:trPr>
          <w:trHeight w:val="1167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781358" w:rsidRDefault="00781358" w:rsidP="00555C6D">
      <w:pPr>
        <w:bidi/>
        <w:rPr>
          <w:rtl/>
          <w:lang w:bidi="fa-IR"/>
        </w:rPr>
      </w:pPr>
    </w:p>
    <w:sectPr w:rsidR="00781358" w:rsidSect="00761F3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AF" w:rsidRDefault="006164AF" w:rsidP="00DF3E7E">
      <w:pPr>
        <w:spacing w:after="0" w:line="240" w:lineRule="auto"/>
      </w:pPr>
      <w:r>
        <w:separator/>
      </w:r>
    </w:p>
  </w:endnote>
  <w:endnote w:type="continuationSeparator" w:id="0">
    <w:p w:rsidR="006164AF" w:rsidRDefault="006164AF" w:rsidP="00D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63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E7E" w:rsidRDefault="00DF3E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B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3E7E" w:rsidRDefault="00DF3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AF" w:rsidRDefault="006164AF" w:rsidP="00DF3E7E">
      <w:pPr>
        <w:spacing w:after="0" w:line="240" w:lineRule="auto"/>
      </w:pPr>
      <w:r>
        <w:separator/>
      </w:r>
    </w:p>
  </w:footnote>
  <w:footnote w:type="continuationSeparator" w:id="0">
    <w:p w:rsidR="006164AF" w:rsidRDefault="006164AF" w:rsidP="00DF3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27FB3"/>
    <w:rsid w:val="00060F86"/>
    <w:rsid w:val="00075A8B"/>
    <w:rsid w:val="00083F21"/>
    <w:rsid w:val="000A661F"/>
    <w:rsid w:val="000B1211"/>
    <w:rsid w:val="000E7FB5"/>
    <w:rsid w:val="000F5792"/>
    <w:rsid w:val="0010056F"/>
    <w:rsid w:val="001364B2"/>
    <w:rsid w:val="00143E77"/>
    <w:rsid w:val="0017125E"/>
    <w:rsid w:val="00197028"/>
    <w:rsid w:val="001A17DD"/>
    <w:rsid w:val="001E3F26"/>
    <w:rsid w:val="001E5484"/>
    <w:rsid w:val="00242056"/>
    <w:rsid w:val="002522A7"/>
    <w:rsid w:val="00257B11"/>
    <w:rsid w:val="00292DB4"/>
    <w:rsid w:val="002E15FD"/>
    <w:rsid w:val="00320A32"/>
    <w:rsid w:val="00334DC3"/>
    <w:rsid w:val="00362E52"/>
    <w:rsid w:val="00365C71"/>
    <w:rsid w:val="00370845"/>
    <w:rsid w:val="00371523"/>
    <w:rsid w:val="003D1FE6"/>
    <w:rsid w:val="003E70C9"/>
    <w:rsid w:val="0040777C"/>
    <w:rsid w:val="0041662A"/>
    <w:rsid w:val="00440311"/>
    <w:rsid w:val="00447D00"/>
    <w:rsid w:val="00482F81"/>
    <w:rsid w:val="00482FA9"/>
    <w:rsid w:val="004A3AEE"/>
    <w:rsid w:val="004B2EA3"/>
    <w:rsid w:val="00515FEB"/>
    <w:rsid w:val="00531890"/>
    <w:rsid w:val="0053251F"/>
    <w:rsid w:val="005554DD"/>
    <w:rsid w:val="00555C6D"/>
    <w:rsid w:val="00563D52"/>
    <w:rsid w:val="005723E7"/>
    <w:rsid w:val="005732C7"/>
    <w:rsid w:val="00575E3D"/>
    <w:rsid w:val="0057675D"/>
    <w:rsid w:val="005830A1"/>
    <w:rsid w:val="0058657C"/>
    <w:rsid w:val="00591E73"/>
    <w:rsid w:val="005B2EC5"/>
    <w:rsid w:val="005D391E"/>
    <w:rsid w:val="005D61E8"/>
    <w:rsid w:val="005F0AA5"/>
    <w:rsid w:val="006137E3"/>
    <w:rsid w:val="006164AF"/>
    <w:rsid w:val="006355D1"/>
    <w:rsid w:val="00637FB7"/>
    <w:rsid w:val="00661930"/>
    <w:rsid w:val="006701CD"/>
    <w:rsid w:val="0067430B"/>
    <w:rsid w:val="0068493E"/>
    <w:rsid w:val="006A45F7"/>
    <w:rsid w:val="00721A20"/>
    <w:rsid w:val="00761F3B"/>
    <w:rsid w:val="00771662"/>
    <w:rsid w:val="0077225F"/>
    <w:rsid w:val="00781358"/>
    <w:rsid w:val="00792E64"/>
    <w:rsid w:val="007930E4"/>
    <w:rsid w:val="007A076D"/>
    <w:rsid w:val="007A58D7"/>
    <w:rsid w:val="007F7FC9"/>
    <w:rsid w:val="00802592"/>
    <w:rsid w:val="0080657A"/>
    <w:rsid w:val="00813CFB"/>
    <w:rsid w:val="008227A9"/>
    <w:rsid w:val="008429EB"/>
    <w:rsid w:val="008B50FB"/>
    <w:rsid w:val="008D2DEC"/>
    <w:rsid w:val="008E64A7"/>
    <w:rsid w:val="008F3FEF"/>
    <w:rsid w:val="00953BEE"/>
    <w:rsid w:val="0097618F"/>
    <w:rsid w:val="009D6C4C"/>
    <w:rsid w:val="00A02B92"/>
    <w:rsid w:val="00A17B5F"/>
    <w:rsid w:val="00A940C9"/>
    <w:rsid w:val="00AA578B"/>
    <w:rsid w:val="00AC65AB"/>
    <w:rsid w:val="00AE1B12"/>
    <w:rsid w:val="00AF398D"/>
    <w:rsid w:val="00B04550"/>
    <w:rsid w:val="00B079C5"/>
    <w:rsid w:val="00B15962"/>
    <w:rsid w:val="00B2304C"/>
    <w:rsid w:val="00B45E53"/>
    <w:rsid w:val="00B47C52"/>
    <w:rsid w:val="00B51850"/>
    <w:rsid w:val="00BB74C0"/>
    <w:rsid w:val="00BC1BE0"/>
    <w:rsid w:val="00C17619"/>
    <w:rsid w:val="00C24B34"/>
    <w:rsid w:val="00C34864"/>
    <w:rsid w:val="00C40A0F"/>
    <w:rsid w:val="00C4442A"/>
    <w:rsid w:val="00C97663"/>
    <w:rsid w:val="00CA5300"/>
    <w:rsid w:val="00CF436A"/>
    <w:rsid w:val="00D0517D"/>
    <w:rsid w:val="00D0717E"/>
    <w:rsid w:val="00D077EF"/>
    <w:rsid w:val="00D218EB"/>
    <w:rsid w:val="00D227B5"/>
    <w:rsid w:val="00D3135E"/>
    <w:rsid w:val="00D31EAA"/>
    <w:rsid w:val="00D53B8D"/>
    <w:rsid w:val="00D63C83"/>
    <w:rsid w:val="00D66CF8"/>
    <w:rsid w:val="00D77549"/>
    <w:rsid w:val="00D979BD"/>
    <w:rsid w:val="00DB088B"/>
    <w:rsid w:val="00DF3E7E"/>
    <w:rsid w:val="00DF4581"/>
    <w:rsid w:val="00E30D94"/>
    <w:rsid w:val="00E36E83"/>
    <w:rsid w:val="00E374A0"/>
    <w:rsid w:val="00E5069A"/>
    <w:rsid w:val="00E5463F"/>
    <w:rsid w:val="00E570CE"/>
    <w:rsid w:val="00E5775E"/>
    <w:rsid w:val="00E70243"/>
    <w:rsid w:val="00EA5F3D"/>
    <w:rsid w:val="00EC094F"/>
    <w:rsid w:val="00ED75DB"/>
    <w:rsid w:val="00EE27E5"/>
    <w:rsid w:val="00F145A1"/>
    <w:rsid w:val="00F4170D"/>
    <w:rsid w:val="00F4440D"/>
    <w:rsid w:val="00F61ED3"/>
    <w:rsid w:val="00FB174C"/>
    <w:rsid w:val="00FC6739"/>
    <w:rsid w:val="00FD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7813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D9FB-8753-4AFC-992A-439FF507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72</cp:revision>
  <cp:lastPrinted>2019-02-27T08:29:00Z</cp:lastPrinted>
  <dcterms:created xsi:type="dcterms:W3CDTF">2017-12-24T08:57:00Z</dcterms:created>
  <dcterms:modified xsi:type="dcterms:W3CDTF">2019-03-09T05:12:00Z</dcterms:modified>
</cp:coreProperties>
</file>